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72" w:after="0" w:line="322"/>
        <w:ind w:right="459"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АВТОНОМНАЯ НЕКОММЕРЧЕСКАЯ ОРГАНИЗАЦИЯ</w:t>
      </w:r>
    </w:p>
    <w:p>
      <w:pPr>
        <w:spacing w:before="0" w:after="0" w:line="322"/>
        <w:ind w:right="460"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ДОПОЛНИТЕЛЬНОГО ПРОФЕССИОНАЛЬНОГО ОБРАЗОВАНИЯ</w:t>
      </w:r>
    </w:p>
    <w:p>
      <w:pPr>
        <w:spacing w:before="0" w:after="0" w:line="240"/>
        <w:ind w:right="459" w:left="57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ЦЕНТРАЛЬНЫЙ МНОГОПРОФИЛЬНЫЙ ИНСТИТУТ</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459" w:left="572" w:firstLine="0"/>
        <w:jc w:val="center"/>
        <w:rPr>
          <w:rFonts w:ascii="Times New Roman" w:hAnsi="Times New Roman" w:cs="Times New Roman" w:eastAsia="Times New Roman"/>
          <w:b/>
          <w:color w:val="auto"/>
          <w:spacing w:val="0"/>
          <w:position w:val="0"/>
          <w:sz w:val="24"/>
          <w:shd w:fill="auto" w:val="clear"/>
        </w:rPr>
      </w:pP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УТВЕРЖДАЮ</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Ректор АНО ДПО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ЦМИ</w:t>
      </w:r>
      <w:r>
        <w:rPr>
          <w:rFonts w:ascii="Times New Roman" w:hAnsi="Times New Roman" w:cs="Times New Roman" w:eastAsia="Times New Roman"/>
          <w:color w:val="000000"/>
          <w:spacing w:val="0"/>
          <w:position w:val="0"/>
          <w:sz w:val="24"/>
          <w:shd w:fill="auto" w:val="clear"/>
        </w:rPr>
        <w:t xml:space="preserve">»</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А.Х. Тамбиев</w:t>
      </w:r>
    </w:p>
    <w:p>
      <w:pPr>
        <w:spacing w:before="19" w:after="0" w:line="240"/>
        <w:ind w:right="0" w:left="840" w:firstLine="0"/>
        <w:jc w:val="right"/>
        <w:rPr>
          <w:rFonts w:ascii="Times New Roman" w:hAnsi="Times New Roman" w:cs="Times New Roman" w:eastAsia="Times New Roman"/>
          <w:color w:val="000000"/>
          <w:spacing w:val="0"/>
          <w:position w:val="0"/>
          <w:sz w:val="24"/>
          <w:shd w:fill="auto" w:val="clear"/>
        </w:rPr>
      </w:pPr>
      <w:r>
        <w:object w:dxaOrig="3098" w:dyaOrig="2389">
          <v:rect xmlns:o="urn:schemas-microsoft-com:office:office" xmlns:v="urn:schemas-microsoft-com:vml" id="rectole0000000000" style="width:154.900000pt;height:119.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b/>
          <w:color w:val="000000"/>
          <w:spacing w:val="0"/>
          <w:position w:val="0"/>
          <w:sz w:val="24"/>
          <w:shd w:fill="auto" w:val="clear"/>
        </w:rPr>
        <w:t xml:space="preserve">2</w:t>
      </w:r>
      <w:r>
        <w:rPr>
          <w:rFonts w:ascii="Times New Roman" w:hAnsi="Times New Roman" w:cs="Times New Roman" w:eastAsia="Times New Roman"/>
          <w:b/>
          <w:color w:val="000000"/>
          <w:spacing w:val="0"/>
          <w:position w:val="0"/>
          <w:sz w:val="24"/>
          <w:shd w:fill="auto" w:val="clear"/>
        </w:rPr>
        <w:t xml:space="preserve">»_</w:t>
      </w:r>
      <w:r>
        <w:rPr>
          <w:rFonts w:ascii="Times New Roman" w:hAnsi="Times New Roman" w:cs="Times New Roman" w:eastAsia="Times New Roman"/>
          <w:b/>
          <w:color w:val="000000"/>
          <w:spacing w:val="0"/>
          <w:position w:val="0"/>
          <w:sz w:val="24"/>
          <w:shd w:fill="auto" w:val="clear"/>
        </w:rPr>
        <w:t xml:space="preserve">декабря_2020 г.</w:t>
      </w: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Программа</w:t>
      </w:r>
    </w:p>
    <w:p>
      <w:pPr>
        <w:keepNext w:val="true"/>
        <w:keepLines w:val="true"/>
        <w:spacing w:before="0" w:after="0" w:line="360"/>
        <w:ind w:right="0" w:left="0" w:firstLine="0"/>
        <w:jc w:val="center"/>
        <w:rPr>
          <w:rFonts w:ascii="Times New Roman" w:hAnsi="Times New Roman" w:cs="Times New Roman" w:eastAsia="Times New Roman"/>
          <w:b/>
          <w:color w:val="000000"/>
          <w:spacing w:val="10"/>
          <w:position w:val="0"/>
          <w:sz w:val="24"/>
          <w:u w:val="single"/>
          <w:shd w:fill="auto" w:val="clear"/>
        </w:rPr>
      </w:pPr>
      <w:r>
        <w:rPr>
          <w:rFonts w:ascii="Times New Roman" w:hAnsi="Times New Roman" w:cs="Times New Roman" w:eastAsia="Times New Roman"/>
          <w:b/>
          <w:color w:val="000000"/>
          <w:spacing w:val="10"/>
          <w:position w:val="0"/>
          <w:sz w:val="24"/>
          <w:u w:val="single"/>
          <w:shd w:fill="auto" w:val="clear"/>
        </w:rPr>
        <w:t xml:space="preserve">Современные аспекты эпидемиологии</w:t>
      </w:r>
    </w:p>
    <w:p>
      <w:pPr>
        <w:spacing w:before="0" w:after="0" w:line="360"/>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по специальности </w:t>
      </w: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Эпидемиология</w:t>
      </w:r>
      <w:r>
        <w:rPr>
          <w:rFonts w:ascii="Times New Roman" w:hAnsi="Times New Roman" w:cs="Times New Roman" w:eastAsia="Times New Roman"/>
          <w:b/>
          <w:color w:val="000000"/>
          <w:spacing w:val="0"/>
          <w:position w:val="0"/>
          <w:sz w:val="24"/>
          <w:u w:val="single"/>
          <w:shd w:fill="auto" w:val="clear"/>
        </w:rPr>
        <w:t xml:space="preserve">»</w:t>
      </w:r>
    </w:p>
    <w:p>
      <w:pPr>
        <w:spacing w:before="0" w:after="0" w:line="360"/>
        <w:ind w:right="0" w:left="0" w:firstLine="0"/>
        <w:jc w:val="center"/>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ОБЪЕМ -144 часа</w:t>
      </w:r>
    </w:p>
    <w:tbl>
      <w:tblPr/>
      <w:tblGrid>
        <w:gridCol w:w="970"/>
        <w:gridCol w:w="3643"/>
        <w:gridCol w:w="8818"/>
        <w:gridCol w:w="1368"/>
      </w:tblGrid>
      <w:tr>
        <w:trPr>
          <w:trHeight w:val="667"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w:t>
            </w:r>
          </w:p>
          <w:p>
            <w:pPr>
              <w:spacing w:before="6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п/п</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Наименование темы</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6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Содержание обучения</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2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Кол-во</w:t>
            </w:r>
          </w:p>
          <w:p>
            <w:pPr>
              <w:spacing w:before="12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часов</w:t>
            </w:r>
          </w:p>
        </w:tc>
      </w:tr>
      <w:tr>
        <w:trPr>
          <w:trHeight w:val="84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Система и политика здравоохранения в Российской Федерации.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87"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1.1.</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Современные тенденции в законодательстве в здравоохранении РФ</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Современные аспекты законодательства РФ в области охраны здоровья. Приоритетные направления развития здравоохранения в Российской Федерации. Стандарты и порядки оказания медицинской помощи населению: общие представления, организация деятельности медицинского персонала.</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139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1.2.</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Основы медицинского права</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Правовое регулирование отношений медицинских работников и пациентов. Юридическая защита и юридическая ответственность деятельности медработников. Дисциплинарная, административная, гражданско-правовая и уголовная ответственность медработников. Медицинская этика.</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w:t>
            </w:r>
          </w:p>
        </w:tc>
      </w:tr>
      <w:tr>
        <w:trPr>
          <w:trHeight w:val="1114"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Психологические аспекты</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профессиональной</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деятельности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Психологические особенности пациентов различных возрастных групп. Личностные реакции пациентов на заболевания. Этико-деонтологические ошибки в деятельности медицинской сестры.</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1114"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Организация и структура службы санитарноэпидемиологической надзора РФ.</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6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Практика</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58"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3.1.</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Организация работы врача- эпидемиолога ЛПУ и его роль в профилактике ВБИ</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Организация и структура службы санитарно-эпидемиологического надзора в РФ, в регионе. Роль помощника врача-эпидемиолога в профилактике ВБИ и организации противоэпидемического режима в ЛПУ. Должностные обязанности и права специалиста. Функции: диагностическая, организационная, методическая, консультативная, контрольная. Формы и методы работы, законодательно-правовые основы деятельности помощника врача-эпидемиолога ЛПУ. Директивные документы в деятельности помощника врача-эпидемиолога. Федеральный закон "О санитарно-</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29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эпидемиологическом благополучии населения".</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0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Понятие о госпитальной инфекции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понятия госпитальной инфекции. Варианты определения. Современная эпидемическая ситуация. Факторы, определение социальноэкономическое значение госпитальных инфекций. Причины роста. Классификация госпитальных инфекций. Традиционные инфекции. Г нойно- септические инфекции. Международная классификация госпитальных гнойно-септических инфекций. Гнойные инфекции ран, инфекции дыхательных путей, мочевыводящих путей, бактериемия. Классификация по виду стационара, в котором зарегистрирована госпитальная инфекция. Понятие об экзогенных и эндогенных госпитальных инфекциях. Г оспитальный штамм.</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Нормативная документация. Г осударственный доклад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О санитарноэпидемиологической обстановке в Кемеровской области в 2010 году.</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4</w:t>
            </w:r>
          </w:p>
        </w:tc>
      </w:tr>
      <w:tr>
        <w:trPr>
          <w:trHeight w:val="56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5.</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Эпидемиология внутрибольничных инфекций</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987"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5.1.</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Общие закономерности эпидемиологического процесса ВБИ</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Этиология ВБИ. Значение условно-патогенных микроорганизмов в эпидемиологии госпитальных инфекций. Современные тенденции этиологической структуры госпитальных инфекций. Традиционные госпитальные инфекции. Классификация, характеристика возбудителей ВБИ. Принципы видовой идентификации. Экология. Устойчивость во внешней среде. Распространение ВБИ. Структура патологии. Общие закономерности эпидемического процесса. Специфичность условий развития эпидемического процесса в госпитальной среде. Проявление эпидемического процесса. Понятие о спорадической заболеваемости в стационаре. Эпидемии. Распределение заболеваемости госпитальными инфекциями по стационарам. Причины и условия, определяющие проявление эпидемического процесса в годовой динамике. Характеристика источников инфекции. Характеристика путей и факторов передачи возбудителей ВБИ.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Этиологическая структура госпитальных инфекций. Традиционные госпитальные инфекции. Распространение ВБИ. Общие закономерности эпидемического</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396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4</w:t>
            </w:r>
          </w:p>
          <w:p>
            <w:pPr>
              <w:spacing w:before="396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1397"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процесса. Специфичность условий развития эпидемического процесса в госпитальной среде. Распределение заболеваемости госпитальными инфекциями по стационарам. Характеристика источников инфекции. Характеристика механизмов передачи. Статистические показатели, характеризующие годовую динамику проявления эпидемического процесса, их анализ</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48"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5.2.</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Эпидемиологические и клинические особенности ВБИ различной этиологии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Эпидемический процесс при различных традиционных госпитальных инфекциях. Бактериальные инфекции: стафилококковая, стрептококковая; вызываемые условно- патогенными энтеробактериями; синегнойная и др. Особенности эпидемического процесса. Клинические проявления. Противоэпидемические и профилактические мероприятия. 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Особенности эпидемического процесса при паразитарных, бактериальных, вирусных, особо опасных инфекционных заболеваниях. Клинические проявления ВБИ различной этиологии. Роль помощника врача-эпидемиолога в организации противоэпидемических и профилактических мероприятий</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174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4</w:t>
            </w:r>
          </w:p>
          <w:p>
            <w:pPr>
              <w:spacing w:before="174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1114"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Организация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эпидемиологического надзора за внутрибольничными инфекциями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83"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6.1.</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Учет и регистрация ВБИ. Эпидемиологическая диагностика госпитальных инфекций.</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Понятие эпидемиологического надзора. Понятия: заболеваемость, носительство, летальность. Факторы, влияющие на распространение инфекций. Общие принципы развития эпидемического процесса. Цель и задачи эпидемиологического надзора. Основные элементы эпидемиологического надзора. Учет и регистрация ВБИ. Текущий и ретроспективный надзор заболеваемости ВБИ.</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Перечень наиболее распространенных нозологических форм ВБИ, подлежащих регистрации. Значение этиологии внутрибольничных заболеваний для оценки эпидемиологической ситуации, организации целенаправленных противоэпидемических мероприятий, выбора рациональных методов лечения. Признаки, обусловливающие этиологическую роль условно - патогенных микроорганизмов при ВБИ. Микробиологическое исследование патологического материала от больного. Идентификация выделенных</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498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микроорганизмов. Определение спектра чувствительности выделенных штаммов к антибиотикам. Информационное обеспечение эпидемиологической диагностики при госпитальных инфекциях. Особенности информационного обеспечения при традиционных гнойно-септических инфекциях, в родовспоможении, хирургии. Учет заболеваемости, летальности. Информационное обеспечение другими данными, необходимыми для эпидемиологической диагностики. Обобщение и анализ данных.</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Организация текущего и ретроспективного эпидемиологического надзора в ЛПУ. Роль помощника врача-эпидемиолога в раннем выявлении ВБИ.</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Организация учета и регистрации ВБИ в ЛПУ. Нормативные документы. Медицинское документирование. Роль этиологической расшифровки ВБИ в эффективном проведении противоэпидемических мероприятий. Расшифровка этиологии ВБИ по микробиологическому исследованию материала от больного. Расшифровка этиологии ВБИ по идентификации выделенных микроорганизмов. Расшифровка этиологии ВБИ по определению спектра чувствительности выделенных штаммов к антибиотикам. Определение специфических антител в динамике в сыворотке заболевших, их роль в диагностировании ВБИ.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4440"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6.2.</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Санитарно-бактериологические исследования объектов окружающей среды в ЛПУ</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Роль санитарно-бактериологических исследований объектов окружающей среды в профилактике ВБИ. Порядок обследования эпидемиологически значимых объектов (жидкие лекарственные формы, грудное молоко, питьевые растворы, предметы ухода за больными, руки персонала и др.).</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Контроль стерильности хирургического инструментария, игл, шприцев, шовного материала, катетеров, аппаратов для искусственного кровообращения, эндоскопической аппаратуры и др. Роль помощника врача-эпидемиолога в динамическом слежении за циркуляцией патогенных и условно-патогенных возбудителей в стационаре. Анализ и обобщение результатов микробиологических исследований по поводу расшифровки этиологической структуры ВБИ и слежения за динамикой ее изменений. Анализ и обобщение результатов определения условно-патогенных возбудителей в воздухе, на объектах окружающей среды. Анализ и обобщение результатов определения широты распространения, уровня и массивности носительства медицинским персоналом и больными возбудителей ВБИ.</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250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Изучение циркуляции патогенных и условно-патогенных микроорганизмов. Порядок обследования эпидемиологически значимых объектов. Организация контроля стерильности медицинского оборудования и инструментария. Анализ и обобщение результатов микробиологических исследований. Анализ и обобщение результатов определения условно-патогенных возбудителей в воздухе, на объектах окружающей среды. Анализ и обобщение результатов определения широты распространения, уровня и массивности носительства медицинским персоналом и больными возбудителей ВБИ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6922"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6.3.</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широты распространения и спектра устойчивости микроорганизмов к антибиотикам, антисептикам и дезинфектантам</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Слежение за лекарственной устойчивостью микроорганизмов, как фактор, способствующий предупреждению ВБИ в ЛПУ. Определение устойчивости микроорганизмов, выделенных от больных и являющихся этиологическим фактором заболеваний, к широко применяемым в ЛПУ антибиотикам (антисептикам). Определение лекарственной устойчивости микроорганизмов, выделенных от длительных носителей из числа медицинского персонала и больных. Определение лекарственной устойчивости микроорганизмов, выделенных из объектов окружающей среды. Определение устойчивости к дезинфектантам микроорганизмов, выделенных с объектов окружающей среды. Слежение за уровнем, объемом и перечнем антибиотиков, используемых в ЛПУ, правильностью и обоснованностью их назначения. Принципы рациональной химиотерапии. Микробиологические основы химиотерапии. Эпидемиологические последствия применения антибиотиков. Обобщение и анализ информации об основных видах и лекарственной устойчивости внутрибольничных штаммов, микроорганизмов с целью определения рациональной тактики применения антибиотиков и др. химиопрепаратов. Мониторинг за формированием лекарственно-устойчивых бактерий.</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Мониторинг лекарственной устойчивости микроорганизмов. Анализ устойчивости микроорганизмов, выделенных от больных и являющихся этиологическим фактором заболеваний к широко применяемым в ЛПУ антибиотикам, нтисептикам. Анализ лекарственной устойчивости микроорганизмов, выделенных из объектов окружающей среды. Анализ устойчивости к дезинфектантам микроорганизмов, выделенных с объектов окружающей среды. Мониторинг за</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474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1</w:t>
            </w:r>
          </w:p>
          <w:p>
            <w:pPr>
              <w:spacing w:before="474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57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уровнем, объемом и перечнем антибиотиков, используемых в ЛПУ, правильностью и обоснованностью их назначения. Медицинское документирование.</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53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6.4.</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Организация и контроль за состоянием здоровья медицинского персонала ЛПУ.</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Роль помощника врача-эпидемиолога в организации и контроле за состоянием здоровья медицинского персонала. Порядок освидетельствования при поступлении на работу медицинского персонала на вирусоносительство, гепатиты В, С, ВИЧ-инфекцию, туберкулез и др. (в соответствии с директивными документами). Диспансеризация медицинского персонала. Плановое и по эпидемиологическим показаниям бактериологическое обследование персонала в соответствии с действующими приказами. Федеральный закон №157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Об иммунопрофилактике инфекционных болезней</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Ежедневный контроль за состоянием здоровья медицинских работников. Организация иммунизации медицинского персонала.</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Организация и система контроля за соблюдением санитарно-гигиенического и противоэпидемического режима в ЛПУ. Роль помощника врача-эпидемиолога в ЛПУ. Предупредительный и текущий санитарный надзор в ЛПУ. "Санитарный паспорт лечебно-профилактического учреждения". Контроль за полнотой и своевременностью микробиологических исследований, проводимых с целью установления диагноза и оценки санитарно-гигиенического режима в ЛПУ. Контроль за эффективностью и качеством уборки, очистки, дезинфекции и стерилизации. Разработка рекомендаций по проведению профилактических и противоэпидемических мероприятий.</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228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1</w:t>
            </w:r>
          </w:p>
          <w:p>
            <w:pPr>
              <w:spacing w:before="228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83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7.</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Профилактические меры борьбы с внутрибольничными инфекциями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06"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7.1.</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Система организационных мероприятий по борьбе с ВБИ</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Система организационных мероприятий по борьбе с ВБИ. Комиссии по профилактике ВБИ в ЛПУ. Создание госпитальной службы эпидемиологов. Изменение соотношения больничной и амбулаторно-поликлинической помощи. Сокращение пребывания пациентов в стационаре. Работа по принципу "мать и дитя" в акушерских стационарах. Организация и контроль за утилизацией отходов ЛПУ. СП 2.1.7.2790-10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Санитарно-эпидемиологические требования к обращению с медицинскими отходами</w:t>
            </w:r>
            <w:r>
              <w:rPr>
                <w:rFonts w:ascii="Times New Roman" w:hAnsi="Times New Roman" w:cs="Times New Roman" w:eastAsia="Times New Roman"/>
                <w:color w:val="000000"/>
                <w:spacing w:val="0"/>
                <w:position w:val="0"/>
                <w:sz w:val="23"/>
                <w:u w:val="single"/>
                <w:shd w:fill="auto" w:val="clear"/>
              </w:rPr>
              <w:t xml:space="preserve">».</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Практика</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198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198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144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83"/>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Система организационных мероприятий по борьбе с ВБИ. Структура, задачи и функции госпитальной службы эпидемиологов. Комиссии по профилактике ВБИ в ЛПУ, их задачи, функции, организация работы. Роль помощника врача- эпидемиолога в проведении санитарно-гигиенических и противоэпидемических мероприятий в ЛПУ. Нормативные документы. Медицинское документирование.</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42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7.2.</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Г игиенические основы профилактики ВБИ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Содержание больничной территории. Общее санитарное состояние зданий, учреждений. Устройство, изоляция палатных отделений, операционных блоков, родильных залов и других подразделений. Особенности организации работы. Оптимизация "чистых" и "грязных" потоков. Архитектурно-планировочные и санитарно-технические мероприятия (оптимизация вентиляции, организация воздушных потоков, канализации и др.). Санитарно-техническое состояние пищеблока. Санитарногигиенический режим питания. СП 2.1.3.2630-10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Санитарно-эпидемиологические требования к организациям, осуществляющим медицинскую деятельность</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Устройство, изоляция палатных отделений, операционных блоков, родильных залов и др. подразделений. Особенности организации работы. Организация "чистых" и "грязных" потоков пациентов. Правила поступления и выписки пациентов. Архитектурно-планировочные и санитарно-технические мероприятия (оптимальное функционирование вентиляции, канализации и др.).</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282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282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2</w:t>
            </w:r>
          </w:p>
        </w:tc>
      </w:tr>
      <w:tr>
        <w:trPr>
          <w:trHeight w:val="3605"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7.3.</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Подготовка персонала ЛПУ по профилактике ВБИ.</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Система подготовки персонала по профилактике ВБИ. Охват работников всех уровней и специальностей прямо и косвенно причастных к оказанию медицинской помощи населению. Комплексность обучения. Профилизация по тематике, уровню. Формы, продолжительность обучения.</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Непрерывный характер подготовки. Организация занятий. Оценка эффективности обучения (организация рейдовых проверок по выполнению санитарнопротивоэпидемических мероприятий, зачетов по действующим приказам, инструкциям, методическим рекомендациям и др.).</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Система подготовки персонала по профилактике ВБИ. Охват работников всех уровней и специальностей прямо и косвенно причастных к оказанию медицинской помощи населению. Комплексность обучения. Профилизация по тематике,</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228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228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1397"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уровню. Формы, продолжительность обучения. Непрерывный характер подготовки. Организация занятий. Оценка эффективности обучения (организация рейдовых проверок по выполнению санитарно-противоэпидемических мероприятий, зачетов по действующим приказам, инструкциям, методическим рекомендациям и др.).</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738"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7.4.</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Организация дезинфекционного дела</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Роль помощника врача-эпидемиолога в организации дезинфекционных мероприятий. Виды, средства, методы, режимы дезинфекции. Дезинфекционная техника. Сравнительная характеристика основных дезинфицирующих средств, применяемых в ЛПУ. Современные дезинфектанты. Нормативные документы. СП 3.1.5.2826-10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Профилактика ВИЧ-инфекций</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СП 3.1.1.2341-08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Профилактика вирусных гепатитов</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ФЗ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О предупреждении распространения в РФ заболевания, вызываемого ВИЧ</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СП 3.1/3.2.1379-03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Общие требования по профилактике инфекционных и паразитарных болезней</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СП 3.5.2529-09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Организация дезинфекционных и стерилизационных мероприятий в лечебнопрофилактических учреждениях</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Приказ ДОЗН КО №545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О профилактике профессионального заражения ВИЧ-инфекцией и другими гемоконтактными инфекциями</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Методические рекомендации 2.2.3.2242-07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Эффективность выбора методов и средств дезинфекции. Контроль качества дезинфекции в ЛПУ. Предстерилизационная очистка. Методы, средства и режимы стерилизации. Стерилизационная техника. Техника безопасности при работе с дезинфектантами.</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Организация дезинфекционных мероприятий в ЛПУ. Нормативные документы. Виды, средства, методы, режимы дезинфекции. Дезинфекционная техника и оборудование. Характеристика основных дезинфицирующих средств. Современные дезинфектанты. Контроль качества дезинфекции в ЛПУ. Предстерилизационная очистка. Методы, средства и режимы стерилизации. Стерилизационная техника. Техника безопасности при работе в ЦСО, с дезинфектантами. Меры профилактики постинфекционных осложнений, заражения вирусными гепатитами, ВИЧ-инфекцией.</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474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474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298"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7.5.</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Организация</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420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противоэпидемических мероприятий в ЛПУ</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Система противоэпидемических мероприятий в ЛПУ. Нейтрализация источников инфекции. Сокращение числа медицинских инвазивных вмешательств. Использование одноразового инструментария. Соблюдение санитарногигиенических правил медицинскими работниками. Средства и способы неспецифической защиты организма. Противоэпидемические мероприятия в случае выявления инфекционных заболеваний.</w:t>
            </w:r>
          </w:p>
          <w:p>
            <w:pPr>
              <w:spacing w:before="0" w:after="0" w:line="278"/>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8"/>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Система противоэпидемических мероприятий в ЛПУ. Организация противоэпидемических мероприятий в ЛПУ в случае выявления инфекционных заболеваний. Мероприятия в отношении источника инфекции. Сокращение числа медицинских и инвазивных вмешательств как фактор, способствующий снижению ВБИ в ЛПУ. Использование одноразового инструментария. Правила утилизации одноразового медицинского инструментария. Соблюдение санитарногигиенических правил медицинскими работниками. Препараты, повышающие неспецифическую защиту организма.</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4978"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8.</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Организация</w:t>
            </w:r>
          </w:p>
          <w:p>
            <w:pPr>
              <w:spacing w:before="6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иммунопрофилактики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Федеральный закон № 157 от 17.09.98 "Об иммунопрофилактике инфекционных болезней". Специфическая иммунопрофилактика. Вакцины. Анатоксины. Сыворотки. Иммунотерапия. Медико-экономическая эффективность иммунопрофилактики. Планирование прививок. Учет. Отчетность. Соблюдение "холодовой цепи" на всех этапах транспортирования и хранения. С.П 3.3.2.1248-03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Условия транспортирования и хранения МИБП</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Условия транспортирования и хранения МИБП". СП 3.3.2842-08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Обеспечение безопасности иммунизации</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МУ 3.3.2.1761-03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О порядке уничтожения непригодных к использованию вакцин и анатоксинов</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МУ 3.3.1.1095-02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Медицинские противопоказания к проведению профилактических прививок препаратами национального календаря прививок</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Национальный календарь профилактических прививок по эпидемическим показаниям Российской Федерации (от 31.01.2011).Роль помощника врача-эпидемиолога ЛПУ. 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Специфическая иммунопрофилактика. Вакцины. Анатоксины. Сыворотки. Иммунотерапия. Планирование прививок. Учет и отчетность. Нормативная документация. Соблюдение "холодовой цепи" на всех этапах транспортировки и хранения, как условия эффективной иммунизации.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366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366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293"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9.</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Профилактика</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360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внутрибольничных заражений медицинского персонала</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Роль помощника врача-эпидемиолога в организации и контроле за состоянием здоровья медицинского персонала. Порядок освидетельствования при поступлении на работу медицинского персонала на вирусоносительство, гепатиты В, С, ВИЧ-инфекцию, туберкулез и др. (в соответствии с директивными документами). Диспансеризация медицинского персонала. Плановое и по эпидемиологическим показаниям бактериологическое обследование персонала в соответствии с действующими приказами. Ежедневный контроль за состоянием здоровья медицинских работников. Организация иммунизации медицинского персонала. Федеральный закон №157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Об иммунопрофилактике инфекционных болезней</w:t>
            </w:r>
            <w:r>
              <w:rPr>
                <w:rFonts w:ascii="Times New Roman" w:hAnsi="Times New Roman" w:cs="Times New Roman" w:eastAsia="Times New Roman"/>
                <w:color w:val="000000"/>
                <w:spacing w:val="0"/>
                <w:position w:val="0"/>
                <w:sz w:val="23"/>
                <w:u w:val="single"/>
                <w:shd w:fill="auto" w:val="clear"/>
              </w:rPr>
              <w:t xml:space="preserve">».</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Механизмы заражения. Профессиональные заболевания. Организация профилактических осмотров. Меры профилактики профессионального заражения медицинских работников. Нормативно-правовая база.</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562"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10.</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8"/>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Внутрибольничные инфекции в ЛПУ различного профиля</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66"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10.1.</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Особенности эпидемиологии и профилактики ВБИ в родовспомогательных стационарах.</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Эпидемический процесс госпитальных гнойно-септических инфекций в родовспомогательных учреждениях. Пути передачи инфекции. Предвестники эпидемиологического неблагополучия родильного дома. Организация противоэпидемического режима в акушерских стационарах. Особенности структуры и организации родильных домов с совместным пребыванием матери и ребенка. Функционирование по системе "мать и дитя". Гнойно - септические заболевания новорожденных и послеродовые осложнения родильниц, вызванные УПМ. Динамика. Структура заболеваемости. Соотношение легких и тяжелых форм. Сроки возникновения заболеваний. Источники инфекции. Роль персонала как источника инфекции. Роль матери в инфицировании ребенка. Группы новорожденных высокого риска присоединения госпитальной инфекции. Профилактика заселения новорожденных госпитальной микрофлорой. Особенности ухода и кормления недоношенных детей. Профилактика омфалита и пупочного сепсиса. Профилактика ВБИ в палатах интенсивной терапии. Профилактика послеоперационных ВБИ у родильниц. Организация контроля за выпиской новорожденных. Выявление и последующий контроль групп риска ВБИ среди новорожденных. Учет заболеваемости ВБИ. Организация плановой дезинфекции и косметического ремонта. Правила хранения</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5534"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чистого и сбора грязного белья, обработки транспорта. Правила содержания комнаты для сбора, пастеризации и хранения грудного молока. Порядок приема на работу и диспансерного наблюдения. Директивные документы. Оценка эффективности, противоэпидемические мероприятия. Нормативные документы. СП 2.1.3.2630-10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Санитарно-эпидемиологические требования к организациям, осуществляющим медицинскую деятельность</w:t>
            </w:r>
            <w:r>
              <w:rPr>
                <w:rFonts w:ascii="Times New Roman" w:hAnsi="Times New Roman" w:cs="Times New Roman" w:eastAsia="Times New Roman"/>
                <w:color w:val="000000"/>
                <w:spacing w:val="0"/>
                <w:position w:val="0"/>
                <w:sz w:val="23"/>
                <w:u w:val="single"/>
                <w:shd w:fill="auto" w:val="clear"/>
              </w:rPr>
              <w:t xml:space="preserve">».</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Динамика и структура заболеваемости гнойно - септическими заболеваниями новорожденных и послеродовые осложнения родильниц, вызванные УПМ.</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Анализ статистических показателей распространения ВБИ в родовспомогательных стационарах. Предвестники эпидемиологического неблагополучия родильного дома. Структура, организация и режим родильных домов с совместным пребыванием матери и ребенка. Роль помощника врача-эпидемиолога в профилактике заселения новорожденных госпитальной микрофлорой.</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Организация мероприятий по профилактике омфалита и пупочного сепсиса. Профилактика послеоперационных ВБИ родильниц. Контроль за выпиской новорожденных. Нормативные документы. Контроль регистрации и анализ ВБИ в ЛПУ. Медицинское документирование. Организация контроля за предоставлением ежедневной информации из всех функциональных подразделений родовспомогательного стационара.</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w:t>
            </w:r>
          </w:p>
        </w:tc>
      </w:tr>
      <w:tr>
        <w:trPr>
          <w:trHeight w:val="3888"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10.2.</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Особенности эпидемиологии, профилактики ВБИ в педиатрических, терапевтических стационарах.</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Факторы риска. Пути передачи инфекции в стационарах терапевтического профиля. Санитарно — гигиенические мероприятия, направленные на пресечение естественного и артифициального механизма передачи. Предупреждение заносов возбудителей инфекции. Защита медицинских работников. Уровень, динамика, структура заболеваемости ВБИ в неонатологических стационарах, соматических стационарах для детей первых лет жизни. Факторы риска. Профилактика заноса возбудителей ВБИ детьми, медицинским персоналом, матерями. Меры по прерыванию путей передачи возбудителей ВБИ. Оценка эффективности профилактических и противоэпидемических мероприятий. Нормативные документы. СП 2.1.3.2630-10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Санитарно-эпидемиологические требования к организациям, осуществляющим медицинскую деятельность</w:t>
            </w:r>
            <w:r>
              <w:rPr>
                <w:rFonts w:ascii="Times New Roman" w:hAnsi="Times New Roman" w:cs="Times New Roman" w:eastAsia="Times New Roman"/>
                <w:color w:val="000000"/>
                <w:spacing w:val="0"/>
                <w:position w:val="0"/>
                <w:sz w:val="23"/>
                <w:u w:val="single"/>
                <w:shd w:fill="auto" w:val="clear"/>
              </w:rPr>
              <w:t xml:space="preserve">».</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Уровень, динамика, структура заболеваемости ВБИ в терапевтических,</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312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312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1675"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педиатрических стационарах. Особенности эпидемиологии ВБИ в неонатологических и соматических стационарах для детей первых лет жизни. Структура и режим работы педиатрических и терапевтических стационаров. Организация мероприятий по профилактике заноса возбудителей ВБИ пациентами, детьми, медицинским персоналом. Контроль регистрации и анализ ВБИ в ЛПУ. Медицинское документирование.</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747"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10.3.</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Особенности эпидемиологии и профилактики ВБИ в хирургических, онкологических, травматологических стационарах, урологических, ожоговых отделениях.</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Уровень, динамика, структура заболеваемости. Этиология заболеваний. Ведущие нозологические формы. Значимость источников инфекции в различных категориях стационаров. Факторы риска. Понятие об инвазивности и агрессивности лечебнодиагностического процесса. Выявление наиболее подверженных инфицированию контингентов больных. Механизмы и пути передачи инфекции. Раннее выявление и изоляция больных ВБИ. Риск госпитальных гнойно-септических инфекций при использовании в хирургии различных пластических материалов и имплантантов. Риск суперинфекции. Разнообразие микробного пейзажа. Бактериологический контроль за спектром возбудителей ВБИ. Внедрение методов иммунокоррекции хирургических заболеваний. Своевременный учет и регистрация. Профилактика эндогенной инфекций при инструментальных вмешательствах. Роль и использование полимерных и др. покрытий при ожоговых ранах. Применение иммунопрепаратов. Санитарно-гигиенический и противоэпидемический режим в структурных подразделениях. Санитарногигиенический режим питания больных. Мероприятия, направленные на пресечение естественного и артифициального механизма передачи. Защита медицинских работников. Оценка эффективности санитарно-гигиенических и противоэпидемических мероприятий. Нормативные документы. СП 2.1.3.2630-10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Санитарно-эпидемиологические требования к организациям, осуществляющим медицинскую деятельность</w:t>
            </w:r>
            <w:r>
              <w:rPr>
                <w:rFonts w:ascii="Times New Roman" w:hAnsi="Times New Roman" w:cs="Times New Roman" w:eastAsia="Times New Roman"/>
                <w:color w:val="000000"/>
                <w:spacing w:val="0"/>
                <w:position w:val="0"/>
                <w:sz w:val="23"/>
                <w:u w:val="single"/>
                <w:shd w:fill="auto" w:val="clear"/>
              </w:rPr>
              <w:t xml:space="preserve">».</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Уровень, динамика, структура, заболеваемости ВБИ в хирургических, онкологических, травматологических стационарах, урологических, ожоговых отделениях. Роль помощника врача-эпидемиолога в раннем выявлении больных ВБИ. Организация и проведение изоляции больных ВБИ. Организация учета и регистрации ВБИ в ЛПУ. Организация санитарно-гигиенических и противоэпидемических мероприятий. Профилактика эндогенной инфекции при</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558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558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2227"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инструментальных вмешательствах. Особенности использования полимерных и других покрытий при ожоговых ранах. Применение иммунопрепаратов. Контроль регистрации и анализ ВБИ в ЛПУ. Нормативные документы. Медицинское документирование. Организация контроля за дезинфекционным режимом, условиями стерилизации, использования, хранения и утилизации перевязочного материала, инструментария. Организация обучения младшего и среднего медицинского персонала. Система защиты медицинского персонала от заражения ВБИ.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25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10.4.</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Особенности эпидемиологии и профилактики ВБИ в отделениях реанимации и интенсивной терапии</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Уровень, динамика, структура заболеваемости ВБИ в отделениях реанимации и интенсивной терапии. Организация учета и регистрации ВБИ в ЛПУ. Организация санитарно-гигиенических и противоэпидемических мероприятий. Контроль регистрации и анализ ВБИ. Бактериологический контроль. Нормативные документы. Медицинское документирование. Организация контроля за дезинфекционным режимом, условиями стерилизации. Контроль за использованием, хранением и утилизацией перевязочного материала, инструментария. Система защиты медицинского персонала от заражения ВБИ. Практика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Уровень, динамика, структура заболеваемости ВБИ в отделениях реанимации и интенсивной терапии. Организация учета и регистрации ВБИ в ЛПУ. Организация санитарно-гигиенических и противоэпидемических мероприятий. Контроль регистрации и анализ ВБИ. Бактериологический контроль. Нормативные документы. Медицинское документирование. Организация контроля за дезинфекционным режимом, условиями стерилизации. Контроль за использованием, хранением и утилизацией</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перевязочного материала, инструментария. Система защиты медицинского персонала от заражения ВБИ.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228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228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2</w:t>
            </w:r>
          </w:p>
        </w:tc>
      </w:tr>
      <w:tr>
        <w:trPr>
          <w:trHeight w:val="1954"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10.5.</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Особенности эпидемиологии и профилактики ВБИ в инфекционных стационарах</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spacing w:val="0"/>
                <w:position w:val="0"/>
              </w:rPr>
            </w:pPr>
            <w:r>
              <w:rPr>
                <w:rFonts w:ascii="Times New Roman" w:hAnsi="Times New Roman" w:cs="Times New Roman" w:eastAsia="Times New Roman"/>
                <w:color w:val="000000"/>
                <w:spacing w:val="0"/>
                <w:position w:val="0"/>
                <w:sz w:val="23"/>
                <w:u w:val="single"/>
                <w:shd w:fill="auto" w:val="clear"/>
              </w:rPr>
              <w:t xml:space="preserve">Эпидемиологические особенности ВБИ в инфекционных стационарах. Этиология заболеваний. Путь передачи инфекции. Архитектурнопланировочные решения. Устройство инфекционных отделений. Требования к организации территорий. Структура мельцеровского бокса. Организация приема инфекционных больных. Санитарно-противоэпидемические мероприятия при уходе за больными. Дезинфекционные, дезинсекционные, дератизационные</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5534"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мероприятия. Санитарно - противоэпидемические мероприятия при приготовлении, доставке, приеме пищи. Порядок общения больных с родственниками. Медицинское освидетельствование персонала и порядок допуска к работе. Соблюдение персоналом требований безопасности труда. Техника безопасности при работе с дезинфекционными препаратами. Оценка эффективности противоэпидемических и санитарно-гигиенических мероприятий. Нормативные документы. СП 2.1.3.2630-10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Санитарно-эпидемиологические требования к организациям, осуществляющим медицинскую деятельность</w:t>
            </w:r>
            <w:r>
              <w:rPr>
                <w:rFonts w:ascii="Times New Roman" w:hAnsi="Times New Roman" w:cs="Times New Roman" w:eastAsia="Times New Roman"/>
                <w:color w:val="000000"/>
                <w:spacing w:val="0"/>
                <w:position w:val="0"/>
                <w:sz w:val="23"/>
                <w:u w:val="single"/>
                <w:shd w:fill="auto" w:val="clear"/>
              </w:rPr>
              <w:t xml:space="preserve">».</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Уровень, динамика, структура заболеваемости ВБИ в инфекционных стационарах. Структура и режим работы инфекционного стационара. - Структура и особенности работы мельцеровского бокса. Организация приема и выписки пациентов из стационара. Организация учета и регистрации ВБИ в ЛПУ. Организация санитарно-гигиенических и противоэпидемических мероприятий. Контроль регистрации и анализ ВБИ. Бактериологический контроль. Нормативные документы. Медицинское документирование. Контроль за дезинфекционным режимом, условиями стерилизации. Роль помощника врача-эпидемиолога в гигиеническом воспитании и обучении пациентов, персонала, родственников. Контроль за использованием, хранением и утилизацией медицинского инструментария. Система защиты медицинского персонала от заражения ВБИ.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w:t>
            </w:r>
          </w:p>
        </w:tc>
      </w:tr>
      <w:tr>
        <w:trPr>
          <w:trHeight w:val="3888"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10.6.</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Особенности эпидемиологии и профилактики ВБИ в амбулаторно-поликлинических учреждениях,</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стоматологических кабинетах.</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Эпидемиологические особенности ВБИ в амбулаторно-поликлинических учреждениях: процедурные кабинеты, хирургические кабинеты, клиникодиагностические лаборатории, стоматологические кабинеты. Особенности микрофлоры и ее распространение в окружающей среде. Организационные мероприятия по соблюдению санитарно- гигиенических правил. Особенности дезинфекционного режима. Оценка эффективности противоэпидемических и санитарно- гигиенических мероприятий. Нормативные документы. СП 2.1.3.263010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Санитарно-эпидемиологические требования к организациям, осуществляющим медицинскую деятельность</w:t>
            </w:r>
            <w:r>
              <w:rPr>
                <w:rFonts w:ascii="Times New Roman" w:hAnsi="Times New Roman" w:cs="Times New Roman" w:eastAsia="Times New Roman"/>
                <w:color w:val="000000"/>
                <w:spacing w:val="0"/>
                <w:position w:val="0"/>
                <w:sz w:val="23"/>
                <w:u w:val="single"/>
                <w:shd w:fill="auto" w:val="clear"/>
              </w:rPr>
              <w:t xml:space="preserve">».</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Эпидемиологические особенности ВБИ в амбулаторно-поликлинических учреждениях. Особенности распространения микрофлоры. Структура и режим работы функциональных подразделений амбулаторно-поликлинических</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2580" w:line="240"/>
              <w:ind w:right="0" w:left="0" w:firstLine="0"/>
              <w:jc w:val="center"/>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2</w:t>
            </w:r>
          </w:p>
          <w:p>
            <w:pPr>
              <w:spacing w:before="2580" w:after="0" w:line="240"/>
              <w:ind w:right="0" w:left="0" w:firstLine="0"/>
              <w:jc w:val="center"/>
              <w:rPr>
                <w:spacing w:val="0"/>
                <w:position w:val="0"/>
              </w:rPr>
            </w:pPr>
            <w:r>
              <w:rPr>
                <w:rFonts w:ascii="Times New Roman" w:hAnsi="Times New Roman" w:cs="Times New Roman" w:eastAsia="Times New Roman"/>
                <w:color w:val="000000"/>
                <w:spacing w:val="0"/>
                <w:position w:val="0"/>
                <w:sz w:val="23"/>
                <w:u w:val="single"/>
                <w:shd w:fill="auto" w:val="clear"/>
              </w:rPr>
              <w:t xml:space="preserve">2</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2501"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учреждений. Организация учета и регистрации ВБИ. Организация санитарногигиенических и противоэпидемических мероприятий. Контроль регистрации и анализа ВБИ. Особенности проведения дезинфекционных мероприятий в структурных подразделениях ЛПУ. Организация контроля за использованием, хранением и утилизацией перевязочного материала, инструментария в структурных подразделениях ЛПУ. Медицинское документирование. Роль помощника врача-эпидемиолога в гигиеническом воспитании и обучении персонала и пациентов. Система защиты медицинского персонала от заражения ВБИ.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4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11.</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Помощь при неотложных состояниях.</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60" w:line="240"/>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6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Практика</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39"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11.1.</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Помощь при неотложных состояниях в терапевтической практике</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Угрожающие жизни неотложные состояния и острые заболевания: острый коронарный синдром, острая сердечно-сосудистая и дыхательная недостаточность, гипертонический криз, судорожный синдром. Коматозные состояния: причины, доврачебная помощь больному в коматозном состоянии. Виды острых аллергических реакций. Клиническая картина. Неотложная помощь. Профилактика острых аллергических реакций.</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84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11.2.</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Помощь при неотложных состояниях в хирургической практике</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Понятие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острый живот</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возможные причины, неотложная помощь и дальнейшая тактика.</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2770"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12.</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Медицина катастроф.</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Медико-тактическая характеристика ЧС (чрезвычайной ситуации) мирного времени. Защита населения и территорий от ЧС природного и техногенного характера. Единая государственная система предупреждения и ликвидации ЧС. Служба медицины катастроф как функциональное звено территориальной системы предупреждения последствий ЧС: ее структура и задачи. Принципы организации медпомощи населению при ЧС, понятие о этапах медобеспечения. Формирования экстренной медпомощи. Понятие о фазах в развитии ЧС. Действия медицинских работников в первой фазе развития ЧС. Понятие о медицинской сортировке и характеристика сортировочных групп.</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2</w:t>
            </w:r>
          </w:p>
        </w:tc>
      </w:tr>
      <w:tr>
        <w:trPr>
          <w:trHeight w:val="571"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13.</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74"/>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Основы сердечно-легочной реанимации.</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60" w:line="240"/>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Практика</w:t>
            </w:r>
          </w:p>
          <w:p>
            <w:pPr>
              <w:spacing w:before="60" w:after="0" w:line="240"/>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Определение понятия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терминальные состояния</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Виды терминальных состояний.</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4709"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Определение понятия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сердечно-легочная реанимация</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Показания и противопоказания к проведению реанимации. Методика сердечно-легочной реанимации.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Приемы восстановления проходимости дыхательных путей, техника искусственной вентиляции легких и непрямого массажа сердца. Критерии эффективности реанимации. Продолжительность реанимации.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Дальнейшая тактика по отношению к больным, перенесшим реанимацию на I этапе лечебно-эвакуационного обеспечения.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Основные патологические процессы, развивающиеся в организме пострадавшего при тепловом ударе и общем охлаждении. Диагностические критерии теплового удара и общего охлаждения и неотложная помощь при них. Объем помощи пострадавшим на первом этапе лечебно-эвакуационного обеспечения. Основные патологические процессы развивающиеся в организме пострадавших с отморожениями и ожогами.</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Объем помощи пострадавшим с ожогами и отморожениями на I этапе лечебноэвакуационного обеспечения. Утопление, удушение, электротравмы: особенности в проведении спасательных и реанимационных мероприятий.</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42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14.</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120" w:firstLine="0"/>
              <w:jc w:val="left"/>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Проблемы</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фтизиопульмонологии в Кузбассе.</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Эпидемиологическое обоснование актуальности проблемы. Определение туберкулеза, понятие о туберкулезе, как о социальном заболевании, группы риска (медицинские и социальные). Причины роста заболеваемости, факторы, определяющие рост туберкулеза в России и в Кузбассе (экономические, социальные, медицинские).</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Возбудитель туберкулеза, его свойства, виды туберкулезных микобактерий, признаки туберкулеза и основные симптомы, формы туберкулеза, пути распространения инфекции, клинические аспекты своевременного выявления туберкулеза, диагностика туберкулеза.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Основные причины заболеваемости туберкулезом детей.</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Программа контроля над туберкулезом, стратегия ДОТS.</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Современные принципы лечения туберкулеза.</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Меры профилактики туберкулеза.</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Основные нормативные документы, регламентирующие профилактику туберкулеза.</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r>
      <w:tr>
        <w:trPr>
          <w:trHeight w:val="298"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15.</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Проблемы онкологии в</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3</w:t>
            </w: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tbl>
      <w:tblPr/>
      <w:tblGrid>
        <w:gridCol w:w="970"/>
        <w:gridCol w:w="3643"/>
        <w:gridCol w:w="8818"/>
        <w:gridCol w:w="1368"/>
      </w:tblGrid>
      <w:tr>
        <w:trPr>
          <w:trHeight w:val="3883"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Кузбассе</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Актуальность проблемы, структура заболеваемости в России и в Кемеровской области. Определение понятия: опухоль, опухолевый рост, особенность раковой клетки, пути распространения опухоли.</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Современные представления об этиологии и патогенезе доброкачественных и злокачественных опухолей. Доклинический и клинический периоды онкологического заболевания. Понятие об онконастороженности. Основные принципы диагностики, значение профилактических осмотров в ранней диагностике злокачественных опухолей. Принципы лечения злокачественных новообразований (хирургическое, лучевая терапия, химиотерапевтическое, комбинированное, комплексное, радикальное, паллиативное).</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Роль химиотерапии и лучевой терапии в лечении онкологических больных. Современные достижения в онкологии.</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Рациональное питание в профилактике онкологических заболевании, основные направления формирования здорового образа жизни</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426" w:hRule="auto"/>
          <w:jc w:val="center"/>
        </w:trPr>
        <w:tc>
          <w:tcPr>
            <w:tcW w:w="970"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16.</w:t>
            </w:r>
          </w:p>
        </w:tc>
        <w:tc>
          <w:tcPr>
            <w:tcW w:w="3643"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ВИЧ-инфекция, гепатиты</w:t>
            </w:r>
          </w:p>
        </w:tc>
        <w:tc>
          <w:tcPr>
            <w:tcW w:w="8818" w:type="dxa"/>
            <w:tcBorders>
              <w:top w:val="single" w:color="000000" w:sz="4"/>
              <w:left w:val="single" w:color="000000" w:sz="4"/>
              <w:bottom w:val="single" w:color="000000" w:sz="0"/>
              <w:right w:val="single" w:color="000000" w:sz="0"/>
            </w:tcBorders>
            <w:shd w:color="auto" w:fill="ffffff" w:val="clear"/>
            <w:tcMar>
              <w:left w:w="10" w:type="dxa"/>
              <w:right w:w="10" w:type="dxa"/>
            </w:tcMar>
            <w:vAlign w:val="top"/>
          </w:tcPr>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Теория</w:t>
            </w:r>
          </w:p>
          <w:p>
            <w:pPr>
              <w:spacing w:before="0" w:after="0" w:line="274"/>
              <w:ind w:right="0" w:left="0" w:firstLine="0"/>
              <w:jc w:val="both"/>
              <w:rPr>
                <w:rFonts w:ascii="Times New Roman" w:hAnsi="Times New Roman" w:cs="Times New Roman" w:eastAsia="Times New Roman"/>
                <w:color w:val="000000"/>
                <w:spacing w:val="0"/>
                <w:position w:val="0"/>
                <w:sz w:val="27"/>
                <w:u w:val="single"/>
                <w:shd w:fill="auto" w:val="clear"/>
              </w:rPr>
            </w:pPr>
            <w:r>
              <w:rPr>
                <w:rFonts w:ascii="Times New Roman" w:hAnsi="Times New Roman" w:cs="Times New Roman" w:eastAsia="Times New Roman"/>
                <w:color w:val="000000"/>
                <w:spacing w:val="0"/>
                <w:position w:val="0"/>
                <w:sz w:val="23"/>
                <w:u w:val="single"/>
                <w:shd w:fill="auto" w:val="clear"/>
              </w:rPr>
              <w:t xml:space="preserve">Молекулярная биология вируса. Эпидемиология ВИЧ-инфекции в мире, в России. Клиническая картина ВИЧ-инфекции. Средства лечения. Социальные аспекты. Правила работы с пациентами при подозрении на ВИЧ-инфекцию. Санитарнопросветительная работа. Основные регламентирующие документы, определяющие работу по профилактике ВИЧ-инфекции. Сестринский уход за больными СПИД, правила безопасности при работе с больными СПИДом. Профилактика внутрибольничных профессиональных заражений ВИЧ.</w:t>
            </w:r>
          </w:p>
          <w:p>
            <w:pPr>
              <w:spacing w:before="0" w:after="0" w:line="274"/>
              <w:ind w:right="0" w:left="120" w:firstLine="0"/>
              <w:jc w:val="left"/>
              <w:rPr>
                <w:spacing w:val="0"/>
                <w:position w:val="0"/>
              </w:rPr>
            </w:pPr>
            <w:r>
              <w:rPr>
                <w:rFonts w:ascii="Times New Roman" w:hAnsi="Times New Roman" w:cs="Times New Roman" w:eastAsia="Times New Roman"/>
                <w:color w:val="000000"/>
                <w:spacing w:val="0"/>
                <w:position w:val="0"/>
                <w:sz w:val="23"/>
                <w:u w:val="single"/>
                <w:shd w:fill="auto" w:val="clear"/>
              </w:rPr>
              <w:t xml:space="preserve">Вирусные гепатиты. Классификация. Этиология. Эпидемиология. Клиническая картина. Критерии диагноза. Профилактика внутрибольничных профессиональных заражений. Работа в очаге инфекции. Инструктивные материалы. СП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Профилактика ВИЧ-инфекции</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ФЗ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О предотвращении распространения в Российской Федерации заболевания, вызываемого ВИЧ</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Приказ ДОЗН КО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О профилактике профессионального заражения ВИЧ-инфекцией и другими гемоконтактными инфекциями</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СП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Профилактика вирусного гепатита В</w:t>
            </w:r>
            <w:r>
              <w:rPr>
                <w:rFonts w:ascii="Times New Roman" w:hAnsi="Times New Roman" w:cs="Times New Roman" w:eastAsia="Times New Roman"/>
                <w:color w:val="000000"/>
                <w:spacing w:val="0"/>
                <w:position w:val="0"/>
                <w:sz w:val="23"/>
                <w:u w:val="single"/>
                <w:shd w:fill="auto" w:val="clear"/>
              </w:rPr>
              <w:t xml:space="preserve">». </w:t>
            </w:r>
            <w:r>
              <w:rPr>
                <w:rFonts w:ascii="Times New Roman" w:hAnsi="Times New Roman" w:cs="Times New Roman" w:eastAsia="Times New Roman"/>
                <w:color w:val="000000"/>
                <w:spacing w:val="0"/>
                <w:position w:val="0"/>
                <w:sz w:val="23"/>
                <w:u w:val="single"/>
                <w:shd w:fill="auto" w:val="clear"/>
              </w:rPr>
              <w:t xml:space="preserve">СП 3.1.2825-10 </w:t>
            </w:r>
            <w:r>
              <w:rPr>
                <w:rFonts w:ascii="Times New Roman" w:hAnsi="Times New Roman" w:cs="Times New Roman" w:eastAsia="Times New Roman"/>
                <w:color w:val="000000"/>
                <w:spacing w:val="0"/>
                <w:position w:val="0"/>
                <w:sz w:val="23"/>
                <w:u w:val="single"/>
                <w:shd w:fill="auto" w:val="clear"/>
              </w:rPr>
              <w:t xml:space="preserve">«</w:t>
            </w:r>
            <w:r>
              <w:rPr>
                <w:rFonts w:ascii="Times New Roman" w:hAnsi="Times New Roman" w:cs="Times New Roman" w:eastAsia="Times New Roman"/>
                <w:color w:val="000000"/>
                <w:spacing w:val="0"/>
                <w:position w:val="0"/>
                <w:sz w:val="23"/>
                <w:u w:val="single"/>
                <w:shd w:fill="auto" w:val="clear"/>
              </w:rPr>
              <w:t xml:space="preserve">Профилактика вирусного гепатита А</w:t>
            </w:r>
            <w:r>
              <w:rPr>
                <w:rFonts w:ascii="Times New Roman" w:hAnsi="Times New Roman" w:cs="Times New Roman" w:eastAsia="Times New Roman"/>
                <w:color w:val="000000"/>
                <w:spacing w:val="0"/>
                <w:position w:val="0"/>
                <w:sz w:val="23"/>
                <w:u w:val="single"/>
                <w:shd w:fill="auto" w:val="clear"/>
              </w:rPr>
              <w:t xml:space="preserve">».</w:t>
            </w:r>
          </w:p>
        </w:tc>
        <w:tc>
          <w:tcPr>
            <w:tcW w:w="1368" w:type="dxa"/>
            <w:tcBorders>
              <w:top w:val="single" w:color="000000" w:sz="4"/>
              <w:left w:val="single" w:color="000000" w:sz="4"/>
              <w:bottom w:val="single" w:color="000000" w:sz="0"/>
              <w:right w:val="single" w:color="000000" w:sz="4"/>
            </w:tcBorders>
            <w:shd w:color="auto" w:fill="ffffff" w:val="clear"/>
            <w:tcMar>
              <w:left w:w="10" w:type="dxa"/>
              <w:right w:w="10" w:type="dxa"/>
            </w:tcMar>
            <w:vAlign w:val="top"/>
          </w:tcPr>
          <w:p>
            <w:pPr>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6</w:t>
            </w:r>
          </w:p>
        </w:tc>
      </w:tr>
      <w:tr>
        <w:trPr>
          <w:trHeight w:val="293" w:hRule="auto"/>
          <w:jc w:val="center"/>
        </w:trPr>
        <w:tc>
          <w:tcPr>
            <w:tcW w:w="970"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4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17.</w:t>
            </w:r>
          </w:p>
        </w:tc>
        <w:tc>
          <w:tcPr>
            <w:tcW w:w="3643"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120" w:firstLine="0"/>
              <w:jc w:val="left"/>
              <w:rPr>
                <w:spacing w:val="0"/>
                <w:position w:val="0"/>
                <w:shd w:fill="auto" w:val="clear"/>
              </w:rPr>
            </w:pPr>
            <w:r>
              <w:rPr>
                <w:rFonts w:ascii="Times New Roman" w:hAnsi="Times New Roman" w:cs="Times New Roman" w:eastAsia="Times New Roman"/>
                <w:color w:val="000000"/>
                <w:spacing w:val="0"/>
                <w:position w:val="0"/>
                <w:sz w:val="23"/>
                <w:u w:val="single"/>
                <w:shd w:fill="auto" w:val="clear"/>
              </w:rPr>
              <w:t xml:space="preserve">Зачет</w:t>
            </w:r>
          </w:p>
        </w:tc>
        <w:tc>
          <w:tcPr>
            <w:tcW w:w="8818" w:type="dxa"/>
            <w:tcBorders>
              <w:top w:val="single" w:color="000000" w:sz="4"/>
              <w:left w:val="single" w:color="000000" w:sz="4"/>
              <w:bottom w:val="single" w:color="000000" w:sz="4"/>
              <w:right w:val="single" w:color="000000" w:sz="0"/>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8" w:type="dxa"/>
            <w:tcBorders>
              <w:top w:val="single" w:color="000000" w:sz="4"/>
              <w:left w:val="single" w:color="000000" w:sz="4"/>
              <w:bottom w:val="single" w:color="000000" w:sz="4"/>
              <w:right w:val="single" w:color="000000" w:sz="4"/>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40"/>
        <w:ind w:right="0" w:left="0" w:firstLine="0"/>
        <w:jc w:val="left"/>
        <w:rPr>
          <w:rFonts w:ascii="Courier New" w:hAnsi="Courier New" w:cs="Courier New" w:eastAsia="Courier New"/>
          <w:color w:val="000000"/>
          <w:spacing w:val="0"/>
          <w:position w:val="0"/>
          <w:sz w:val="2"/>
          <w:shd w:fill="auto" w:val="clear"/>
        </w:rPr>
      </w:pPr>
    </w:p>
    <w:p>
      <w:pPr>
        <w:spacing w:before="0" w:after="0" w:line="270"/>
        <w:ind w:right="0" w:left="340" w:hanging="300"/>
        <w:jc w:val="both"/>
        <w:rPr>
          <w:rFonts w:ascii="Times New Roman" w:hAnsi="Times New Roman" w:cs="Times New Roman" w:eastAsia="Times New Roman"/>
          <w:color w:val="000000"/>
          <w:spacing w:val="0"/>
          <w:position w:val="0"/>
          <w:sz w:val="27"/>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